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6C5" w:rsidRPr="00346D5E" w:rsidRDefault="00447658">
      <w:pPr>
        <w:rPr>
          <w:rFonts w:ascii="Times New Roman" w:hAnsi="Times New Roman" w:cs="Times New Roman"/>
          <w:sz w:val="24"/>
          <w:szCs w:val="24"/>
          <w:lang w:val="en-GB"/>
        </w:rPr>
      </w:pPr>
      <w:r w:rsidRPr="00346D5E">
        <w:rPr>
          <w:rFonts w:ascii="Times New Roman" w:hAnsi="Times New Roman" w:cs="Times New Roman"/>
          <w:b/>
          <w:sz w:val="24"/>
          <w:szCs w:val="24"/>
          <w:lang w:val="en-GB"/>
        </w:rPr>
        <w:t>Supplementary Table 4</w:t>
      </w:r>
      <w:r w:rsidR="00300BD0" w:rsidRPr="00346D5E">
        <w:rPr>
          <w:rFonts w:ascii="Times New Roman" w:hAnsi="Times New Roman" w:cs="Times New Roman"/>
          <w:sz w:val="24"/>
          <w:szCs w:val="24"/>
          <w:lang w:val="en-GB"/>
        </w:rPr>
        <w:t xml:space="preserve">. </w:t>
      </w:r>
      <w:r w:rsidR="00D71E1B" w:rsidRPr="00346D5E">
        <w:rPr>
          <w:rFonts w:ascii="Times New Roman" w:hAnsi="Times New Roman" w:cs="Times New Roman"/>
          <w:sz w:val="24"/>
          <w:szCs w:val="24"/>
          <w:lang w:val="en-GB"/>
        </w:rPr>
        <w:t>ICR</w:t>
      </w:r>
      <w:r w:rsidR="00300BD0" w:rsidRPr="00346D5E">
        <w:rPr>
          <w:rFonts w:ascii="Times New Roman" w:hAnsi="Times New Roman" w:cs="Times New Roman"/>
          <w:sz w:val="24"/>
          <w:szCs w:val="24"/>
          <w:lang w:val="en-GB"/>
        </w:rPr>
        <w:t xml:space="preserve"> </w:t>
      </w:r>
      <w:r w:rsidR="00F13B67" w:rsidRPr="00346D5E">
        <w:rPr>
          <w:rFonts w:ascii="Times New Roman" w:hAnsi="Times New Roman" w:cs="Times New Roman"/>
          <w:sz w:val="24"/>
          <w:szCs w:val="24"/>
          <w:lang w:val="en-GB"/>
        </w:rPr>
        <w:t xml:space="preserve">DMR </w:t>
      </w:r>
      <w:r w:rsidR="00300BD0" w:rsidRPr="00346D5E">
        <w:rPr>
          <w:rFonts w:ascii="Times New Roman" w:hAnsi="Times New Roman" w:cs="Times New Roman"/>
          <w:sz w:val="24"/>
          <w:szCs w:val="24"/>
          <w:lang w:val="en-GB"/>
        </w:rPr>
        <w:t xml:space="preserve">list used in </w:t>
      </w:r>
      <w:r w:rsidR="00F13B67" w:rsidRPr="00346D5E">
        <w:rPr>
          <w:rFonts w:ascii="Times New Roman" w:hAnsi="Times New Roman" w:cs="Times New Roman"/>
          <w:sz w:val="24"/>
          <w:szCs w:val="24"/>
          <w:lang w:val="en-GB"/>
        </w:rPr>
        <w:t xml:space="preserve">our </w:t>
      </w:r>
      <w:r w:rsidR="00300BD0" w:rsidRPr="00346D5E">
        <w:rPr>
          <w:rFonts w:ascii="Times New Roman" w:hAnsi="Times New Roman" w:cs="Times New Roman"/>
          <w:sz w:val="24"/>
          <w:szCs w:val="24"/>
          <w:lang w:val="en-GB"/>
        </w:rPr>
        <w:t>study</w:t>
      </w:r>
      <w:r w:rsidR="00BB45E0" w:rsidRPr="00346D5E">
        <w:rPr>
          <w:rFonts w:ascii="Times New Roman" w:hAnsi="Times New Roman" w:cs="Times New Roman"/>
          <w:sz w:val="24"/>
          <w:szCs w:val="24"/>
          <w:lang w:val="en-GB"/>
        </w:rPr>
        <w:t xml:space="preserve"> as reve</w:t>
      </w:r>
      <w:r w:rsidR="00816B61" w:rsidRPr="00346D5E">
        <w:rPr>
          <w:rFonts w:ascii="Times New Roman" w:hAnsi="Times New Roman" w:cs="Times New Roman"/>
          <w:sz w:val="24"/>
          <w:szCs w:val="24"/>
          <w:lang w:val="en-GB"/>
        </w:rPr>
        <w:t>aled by Court et al., 2014</w:t>
      </w:r>
      <w:r w:rsidR="00670117" w:rsidRPr="00346D5E">
        <w:rPr>
          <w:rFonts w:ascii="Times New Roman" w:hAnsi="Times New Roman" w:cs="Times New Roman"/>
          <w:sz w:val="24"/>
          <w:szCs w:val="24"/>
          <w:lang w:val="en-GB"/>
        </w:rPr>
        <w:fldChar w:fldCharType="begin" w:fldLock="1"/>
      </w:r>
      <w:r w:rsidR="00816B61" w:rsidRPr="00346D5E">
        <w:rPr>
          <w:rFonts w:ascii="Times New Roman" w:hAnsi="Times New Roman" w:cs="Times New Roman"/>
          <w:sz w:val="24"/>
          <w:szCs w:val="24"/>
          <w:lang w:val="en-GB"/>
        </w:rPr>
        <w:instrText>ADDIN CSL_CITATION { "citationItems" : [ { "id" : "ITEM-1", "itemData" : { "DOI" : "10.1101/gr.164913.113", "ISBN" : "1549-5469 (Electronic)\\r1088-9051 (Linking)", "ISSN" : "1549-5469", "PMID" : "24402520", "abstract" : "Differential methylation between the two alleles of a gene has been observed at imprinted regions, where the methylation of one allele occurs on a parent-of-origin basis, the inactive X-chromosome in females, and at those loci whose methylation is driven by genetic variants. We have extensively characterized imprinted methylation in a substantial range of normal human tissues, reciprocal genome-wide uniparental disomies and hydatidiform moles, using a combination of whole genome bisulphite sequencing and high-density methylation microarrays. This approach allowed us to define methylation profiles at known imprinted domains at base-pair resolution, as well as identifying 21 novel loci harbouring parent-of-origin methylation, 15 of which are restricted to the placenta. We observe that the extent of imprinted differentially methylated regions (DMRs) is extremely similar between tissues, with the exception of the placenta. This extra-embryonic tissue often adopts a different methylation profile compared to somatic tissues. Further we profiled all imprinted DMRs in sperm and embryonic stem cells derived from parthenogenetically-activated oocytes, individual blastomeres and blastocysts to identifying primary DMRs and reveal the extent of reprograming during pre-implantation development. Intriguingly, we find that in contrast to ubiquitous imprints, the majority of placenta-specific imprinted DMRs are unmethylated in sperm and all human embryonic stem cells. Therefore, placental-specific imprinting provides evidence for an inheritable epigenetic state that is independent of DNA methylation and the existence of a novel imprinting mechanism at these loci.", "author" : [ { "dropping-particle" : "", "family" : "Court", "given" : "Franck", "non-dropping-particle" : "", "parse-names" : false, "suffix" : "" }, { "dropping-particle" : "", "family" : "Tayama", "given" : "Chiharu", "non-dropping-particle" : "", "parse-names" : false, "suffix" : "" }, { "dropping-particle" : "", "family" : "Romanelli", "given" : "Valeria", "non-dropping-particle" : "", "parse-names" : false, "suffix" : "" }, { "dropping-particle" : "", "family" : "Martin Trujillo", "given" : "Alex", "non-dropping-particle" : "", "parse-names" : false, "suffix" : "" }, { "dropping-particle" : "", "family" : "Iglesias-Platas", "given" : "Isabel", "non-dropping-particle" : "", "parse-names" : false, "suffix" : "" }, { "dropping-particle" : "", "family" : "Okamura", "given" : "Kohji", "non-dropping-particle" : "", "parse-names" : false, "suffix" : "" }, { "dropping-particle" : "", "family" : "Sugahara", "given" : "Naoko", "non-dropping-particle" : "", "parse-names" : false, "suffix" : "" }, { "dropping-particle" : "", "family" : "Sim\u00f3n", "given" : "Carlos", "non-dropping-particle" : "", "parse-names" : false, "suffix" : "" }, { "dropping-particle" : "", "family" : "Moore", "given" : "Harry", "non-dropping-particle" : "", "parse-names" : false, "suffix" : "" }, { "dropping-particle" : "V", "family" : "Harness", "given" : "Julie", "non-dropping-particle" : "", "parse-names" : false, "suffix" : "" }, { "dropping-particle" : "", "family" : "Keirstead", "given" : "Hans", "non-dropping-particle" : "", "parse-names" : false, "suffix" : "" }, { "dropping-particle" : "", "family" : "Vicente Sanchez-Mut", "given" : "Jose", "non-dropping-particle" : "", "parse-names" : false, "suffix" : "" }, { "dropping-particle" : "", "family" : "Kaneki", "given" : "Elsuke", "non-dropping-particle" : "", "parse-names" : false, "suffix" : "" }, { "dropping-particle" : "", "family" : "Lapunzina", "given" : "Pablo", "non-dropping-particle" : "", "parse-names" : false, "suffix" : "" }, { "dropping-particle" : "", "family" : "Soejima", "given" : "Hidenobu", "non-dropping-particle" : "", "parse-names" : false, "suffix" : "" }, { "dropping-particle" : "", "family" : "Wake", "given" : "Norio", "non-dropping-particle" : "", "parse-names" : false, "suffix" : "" }, { "dropping-particle" : "", "family" : "Esteller", "given" : "Manel", "non-dropping-particle" : "", "parse-names" : false, "suffix" : "" }, { "dropping-particle" : "", "family" : "Ogata", "given" : "Tsutomu", "non-dropping-particle" : "", "parse-names" : false, "suffix" : "" }, { "dropping-particle" : "", "family" : "Hata", "given" : "Kenichiro", "non-dropping-particle" : "", "parse-names" : false, "suffix" : "" }, { "dropping-particle" : "", "family" : "Nakabayashi", "given" : "Kazuhiko", "non-dropping-particle" : "", "parse-names" : false, "suffix" : "" }, { "dropping-particle" : "", "family" : "Monk", "given" : "David", "non-dropping-particle" : "", "parse-names" : false, "suffix" : "" } ], "container-title" : "Genome research", "id" : "ITEM-1", "issued" : { "date-parts" : [ [ "2014" ] ] }, "page" : "554-569", "title" : "Genome-wide parent-of-origin DNA methylation analysis reveals the intricacies of the human imprintome and suggests a germline methylation independent establishment of imprinting.", "type" : "article-journal" }, "uris" : [ "http://www.mendeley.com/documents/?uuid=ebed8a7c-0630-4559-ab3b-744284ef9f91" ] } ], "mendeley" : { "formattedCitation" : "&lt;sup&gt;1&lt;/sup&gt;", "plainTextFormattedCitation" : "1", "previouslyFormattedCitation" : "&lt;sup&gt;1&lt;/sup&gt;" }, "properties" : { "noteIndex" : 0 }, "schema" : "https://github.com/citation-style-language/schema/raw/master/csl-citation.json" }</w:instrText>
      </w:r>
      <w:r w:rsidR="00670117" w:rsidRPr="00346D5E">
        <w:rPr>
          <w:rFonts w:ascii="Times New Roman" w:hAnsi="Times New Roman" w:cs="Times New Roman"/>
          <w:sz w:val="24"/>
          <w:szCs w:val="24"/>
          <w:lang w:val="en-GB"/>
        </w:rPr>
        <w:fldChar w:fldCharType="separate"/>
      </w:r>
      <w:r w:rsidR="00816B61" w:rsidRPr="00346D5E">
        <w:rPr>
          <w:rFonts w:ascii="Times New Roman" w:hAnsi="Times New Roman" w:cs="Times New Roman"/>
          <w:sz w:val="24"/>
          <w:szCs w:val="24"/>
          <w:vertAlign w:val="superscript"/>
          <w:lang w:val="en-GB"/>
        </w:rPr>
        <w:t>1</w:t>
      </w:r>
      <w:r w:rsidR="00670117" w:rsidRPr="00346D5E">
        <w:rPr>
          <w:rFonts w:ascii="Times New Roman" w:hAnsi="Times New Roman" w:cs="Times New Roman"/>
          <w:sz w:val="24"/>
          <w:szCs w:val="24"/>
          <w:lang w:val="en-GB"/>
        </w:rPr>
        <w:fldChar w:fldCharType="end"/>
      </w:r>
      <w:r w:rsidR="00BB45E0" w:rsidRPr="00346D5E">
        <w:rPr>
          <w:rFonts w:ascii="Times New Roman" w:hAnsi="Times New Roman" w:cs="Times New Roman"/>
          <w:sz w:val="24"/>
          <w:szCs w:val="24"/>
          <w:lang w:val="en-GB"/>
        </w:rPr>
        <w:t xml:space="preserve">. </w:t>
      </w:r>
      <w:r w:rsidR="009A4C4F" w:rsidRPr="00346D5E">
        <w:rPr>
          <w:rFonts w:ascii="Times New Roman" w:hAnsi="Times New Roman" w:cs="Times New Roman"/>
          <w:sz w:val="24"/>
          <w:szCs w:val="24"/>
          <w:lang w:val="en-GB"/>
        </w:rPr>
        <w:t>The table represents the name of a</w:t>
      </w:r>
      <w:r w:rsidR="00D71E1B" w:rsidRPr="00346D5E">
        <w:rPr>
          <w:rFonts w:ascii="Times New Roman" w:hAnsi="Times New Roman" w:cs="Times New Roman"/>
          <w:sz w:val="24"/>
          <w:szCs w:val="24"/>
          <w:lang w:val="en-GB"/>
        </w:rPr>
        <w:t>n</w:t>
      </w:r>
      <w:r w:rsidR="009A4C4F" w:rsidRPr="00346D5E">
        <w:rPr>
          <w:rFonts w:ascii="Times New Roman" w:hAnsi="Times New Roman" w:cs="Times New Roman"/>
          <w:sz w:val="24"/>
          <w:szCs w:val="24"/>
          <w:lang w:val="en-GB"/>
        </w:rPr>
        <w:t xml:space="preserve"> </w:t>
      </w:r>
      <w:r w:rsidR="00D71E1B" w:rsidRPr="00346D5E">
        <w:rPr>
          <w:rFonts w:ascii="Times New Roman" w:hAnsi="Times New Roman" w:cs="Times New Roman"/>
          <w:sz w:val="24"/>
          <w:szCs w:val="24"/>
          <w:lang w:val="en-GB"/>
        </w:rPr>
        <w:t>ICR</w:t>
      </w:r>
      <w:r w:rsidR="00F13B67" w:rsidRPr="00346D5E">
        <w:rPr>
          <w:rFonts w:ascii="Times New Roman" w:hAnsi="Times New Roman" w:cs="Times New Roman"/>
          <w:sz w:val="24"/>
          <w:szCs w:val="24"/>
          <w:lang w:val="en-GB"/>
        </w:rPr>
        <w:t>,</w:t>
      </w:r>
      <w:r w:rsidR="009A4C4F" w:rsidRPr="00346D5E">
        <w:rPr>
          <w:rFonts w:ascii="Times New Roman" w:hAnsi="Times New Roman" w:cs="Times New Roman"/>
          <w:sz w:val="24"/>
          <w:szCs w:val="24"/>
          <w:lang w:val="en-GB"/>
        </w:rPr>
        <w:t xml:space="preserve"> its location, parent-of-origin methylation and its </w:t>
      </w:r>
      <w:r w:rsidR="00F13B67" w:rsidRPr="00346D5E">
        <w:rPr>
          <w:rFonts w:ascii="Times New Roman" w:hAnsi="Times New Roman" w:cs="Times New Roman"/>
          <w:sz w:val="24"/>
          <w:szCs w:val="24"/>
          <w:lang w:val="en-GB"/>
        </w:rPr>
        <w:t xml:space="preserve">average </w:t>
      </w:r>
      <w:r w:rsidR="009A4C4F" w:rsidRPr="00346D5E">
        <w:rPr>
          <w:rFonts w:ascii="Times New Roman" w:hAnsi="Times New Roman" w:cs="Times New Roman"/>
          <w:sz w:val="24"/>
          <w:szCs w:val="24"/>
          <w:lang w:val="en-GB"/>
        </w:rPr>
        <w:t>methylation level over 17 somatic tissues</w:t>
      </w:r>
      <w:r w:rsidR="00D71E1B" w:rsidRPr="00346D5E">
        <w:rPr>
          <w:rFonts w:ascii="Times New Roman" w:hAnsi="Times New Roman" w:cs="Times New Roman"/>
          <w:sz w:val="24"/>
          <w:szCs w:val="24"/>
          <w:lang w:val="en-GB"/>
        </w:rPr>
        <w:t xml:space="preserve"> identified </w:t>
      </w:r>
      <w:r w:rsidR="00F13B67" w:rsidRPr="00346D5E">
        <w:rPr>
          <w:rFonts w:ascii="Times New Roman" w:hAnsi="Times New Roman" w:cs="Times New Roman"/>
          <w:sz w:val="24"/>
          <w:szCs w:val="24"/>
          <w:lang w:val="en-GB"/>
        </w:rPr>
        <w:t xml:space="preserve">in the current </w:t>
      </w:r>
      <w:r w:rsidR="00D71E1B" w:rsidRPr="00346D5E">
        <w:rPr>
          <w:rFonts w:ascii="Times New Roman" w:hAnsi="Times New Roman" w:cs="Times New Roman"/>
          <w:sz w:val="24"/>
          <w:szCs w:val="24"/>
          <w:lang w:val="en-GB"/>
        </w:rPr>
        <w:t>study</w:t>
      </w:r>
      <w:r w:rsidR="009A4C4F" w:rsidRPr="00346D5E">
        <w:rPr>
          <w:rFonts w:ascii="Times New Roman" w:hAnsi="Times New Roman" w:cs="Times New Roman"/>
          <w:sz w:val="24"/>
          <w:szCs w:val="24"/>
          <w:lang w:val="en-GB"/>
        </w:rPr>
        <w:t>.</w:t>
      </w:r>
    </w:p>
    <w:tbl>
      <w:tblPr>
        <w:tblW w:w="14540" w:type="dxa"/>
        <w:tblInd w:w="58" w:type="dxa"/>
        <w:tblCellMar>
          <w:left w:w="70" w:type="dxa"/>
          <w:right w:w="70" w:type="dxa"/>
        </w:tblCellMar>
        <w:tblLook w:val="04A0"/>
      </w:tblPr>
      <w:tblGrid>
        <w:gridCol w:w="600"/>
        <w:gridCol w:w="3140"/>
        <w:gridCol w:w="820"/>
        <w:gridCol w:w="1660"/>
        <w:gridCol w:w="1660"/>
        <w:gridCol w:w="1180"/>
        <w:gridCol w:w="1060"/>
        <w:gridCol w:w="960"/>
        <w:gridCol w:w="1280"/>
        <w:gridCol w:w="2180"/>
      </w:tblGrid>
      <w:tr w:rsidR="009606C5" w:rsidRPr="00346D5E" w:rsidTr="009606C5">
        <w:trPr>
          <w:trHeight w:val="705"/>
        </w:trPr>
        <w:tc>
          <w:tcPr>
            <w:tcW w:w="600" w:type="dxa"/>
            <w:tcBorders>
              <w:top w:val="single" w:sz="8" w:space="0" w:color="auto"/>
              <w:left w:val="single" w:sz="8" w:space="0" w:color="auto"/>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NR</w:t>
            </w:r>
          </w:p>
        </w:tc>
        <w:tc>
          <w:tcPr>
            <w:tcW w:w="314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Gene locus</w:t>
            </w:r>
          </w:p>
        </w:tc>
        <w:tc>
          <w:tcPr>
            <w:tcW w:w="82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Chr</w:t>
            </w:r>
          </w:p>
        </w:tc>
        <w:tc>
          <w:tcPr>
            <w:tcW w:w="166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Start</w:t>
            </w:r>
          </w:p>
        </w:tc>
        <w:tc>
          <w:tcPr>
            <w:tcW w:w="166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Finish</w:t>
            </w:r>
          </w:p>
        </w:tc>
        <w:tc>
          <w:tcPr>
            <w:tcW w:w="118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w:t>
            </w:r>
            <w:r w:rsidR="00F13B67" w:rsidRPr="00346D5E">
              <w:rPr>
                <w:rFonts w:ascii="Calibri" w:eastAsia="Times New Roman" w:hAnsi="Calibri" w:cs="Times New Roman"/>
                <w:b/>
                <w:bCs/>
                <w:color w:val="000000"/>
                <w:lang w:val="en-GB" w:eastAsia="et-EE"/>
              </w:rPr>
              <w:t xml:space="preserve"> </w:t>
            </w:r>
            <w:r w:rsidRPr="00346D5E">
              <w:rPr>
                <w:rFonts w:ascii="Calibri" w:eastAsia="Times New Roman" w:hAnsi="Calibri" w:cs="Times New Roman"/>
                <w:b/>
                <w:bCs/>
                <w:color w:val="000000"/>
                <w:lang w:val="en-GB" w:eastAsia="et-EE"/>
              </w:rPr>
              <w:t>Infinium probes</w:t>
            </w:r>
          </w:p>
        </w:tc>
        <w:tc>
          <w:tcPr>
            <w:tcW w:w="106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GC content</w:t>
            </w:r>
          </w:p>
        </w:tc>
        <w:tc>
          <w:tcPr>
            <w:tcW w:w="96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w:t>
            </w:r>
            <w:r w:rsidR="00F13B67" w:rsidRPr="00346D5E">
              <w:rPr>
                <w:rFonts w:ascii="Calibri" w:eastAsia="Times New Roman" w:hAnsi="Calibri" w:cs="Times New Roman"/>
                <w:b/>
                <w:bCs/>
                <w:color w:val="000000"/>
                <w:lang w:val="en-GB" w:eastAsia="et-EE"/>
              </w:rPr>
              <w:t xml:space="preserve"> </w:t>
            </w:r>
            <w:r w:rsidRPr="00346D5E">
              <w:rPr>
                <w:rFonts w:ascii="Calibri" w:eastAsia="Times New Roman" w:hAnsi="Calibri" w:cs="Times New Roman"/>
                <w:b/>
                <w:bCs/>
                <w:color w:val="000000"/>
                <w:lang w:val="en-GB" w:eastAsia="et-EE"/>
              </w:rPr>
              <w:t>CpG</w:t>
            </w:r>
          </w:p>
        </w:tc>
        <w:tc>
          <w:tcPr>
            <w:tcW w:w="1280" w:type="dxa"/>
            <w:tcBorders>
              <w:top w:val="single" w:sz="8" w:space="0" w:color="auto"/>
              <w:left w:val="nil"/>
              <w:bottom w:val="nil"/>
              <w:right w:val="single" w:sz="4"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Methylation origin</w:t>
            </w:r>
          </w:p>
        </w:tc>
        <w:tc>
          <w:tcPr>
            <w:tcW w:w="2180" w:type="dxa"/>
            <w:tcBorders>
              <w:top w:val="single" w:sz="8" w:space="0" w:color="auto"/>
              <w:left w:val="nil"/>
              <w:bottom w:val="nil"/>
              <w:right w:val="single" w:sz="8" w:space="0" w:color="auto"/>
            </w:tcBorders>
            <w:shd w:val="clear" w:color="auto" w:fill="auto"/>
            <w:vAlign w:val="center"/>
            <w:hideMark/>
          </w:tcPr>
          <w:p w:rsidR="009606C5" w:rsidRPr="00346D5E" w:rsidRDefault="009606C5" w:rsidP="009606C5">
            <w:pPr>
              <w:spacing w:after="0" w:line="240" w:lineRule="auto"/>
              <w:jc w:val="center"/>
              <w:rPr>
                <w:rFonts w:ascii="Calibri" w:eastAsia="Times New Roman" w:hAnsi="Calibri" w:cs="Times New Roman"/>
                <w:b/>
                <w:bCs/>
                <w:color w:val="000000"/>
                <w:lang w:val="en-GB" w:eastAsia="et-EE"/>
              </w:rPr>
            </w:pPr>
            <w:r w:rsidRPr="00346D5E">
              <w:rPr>
                <w:rFonts w:ascii="Calibri" w:eastAsia="Times New Roman" w:hAnsi="Calibri" w:cs="Times New Roman"/>
                <w:b/>
                <w:bCs/>
                <w:color w:val="000000"/>
                <w:lang w:val="en-GB" w:eastAsia="et-EE"/>
              </w:rPr>
              <w:t>Infinium beta value (min-max)</w:t>
            </w:r>
          </w:p>
        </w:tc>
      </w:tr>
      <w:tr w:rsidR="00F13B67" w:rsidRPr="00346D5E" w:rsidTr="00233D3C">
        <w:trPr>
          <w:trHeight w:val="300"/>
        </w:trPr>
        <w:tc>
          <w:tcPr>
            <w:tcW w:w="14540" w:type="dxa"/>
            <w:gridSpan w:val="10"/>
            <w:tcBorders>
              <w:top w:val="single" w:sz="8" w:space="0" w:color="auto"/>
              <w:left w:val="single" w:sz="8" w:space="0" w:color="auto"/>
              <w:bottom w:val="single" w:sz="4" w:space="0" w:color="auto"/>
              <w:right w:val="single" w:sz="8" w:space="0" w:color="auto"/>
            </w:tcBorders>
            <w:shd w:val="clear" w:color="auto" w:fill="auto"/>
            <w:noWrap/>
            <w:vAlign w:val="center"/>
          </w:tcPr>
          <w:p w:rsidR="00F13B67" w:rsidRPr="00346D5E" w:rsidRDefault="00F13B67" w:rsidP="00F13B67">
            <w:pPr>
              <w:spacing w:after="0" w:line="240" w:lineRule="auto"/>
              <w:jc w:val="center"/>
              <w:rPr>
                <w:rFonts w:ascii="Times New Roman" w:eastAsia="Times New Roman" w:hAnsi="Times New Roman" w:cs="Times New Roman"/>
                <w:b/>
                <w:i/>
                <w:color w:val="000000"/>
                <w:lang w:val="en-GB" w:eastAsia="et-EE"/>
              </w:rPr>
            </w:pPr>
            <w:r w:rsidRPr="00346D5E">
              <w:rPr>
                <w:rFonts w:ascii="Times New Roman" w:eastAsia="Times New Roman" w:hAnsi="Times New Roman" w:cs="Times New Roman"/>
                <w:b/>
                <w:i/>
                <w:color w:val="000000"/>
                <w:lang w:val="en-GB" w:eastAsia="et-EE"/>
              </w:rPr>
              <w:t>‘U</w:t>
            </w:r>
            <w:r w:rsidRPr="00346D5E">
              <w:rPr>
                <w:rFonts w:ascii="Times New Roman" w:hAnsi="Times New Roman" w:cs="Times New Roman"/>
                <w:b/>
                <w:i/>
                <w:lang w:val="en-GB"/>
              </w:rPr>
              <w:t>biquitously imprinted ICR DMRs’</w:t>
            </w:r>
          </w:p>
        </w:tc>
      </w:tr>
      <w:tr w:rsidR="009606C5" w:rsidRPr="00346D5E" w:rsidTr="009606C5">
        <w:trPr>
          <w:trHeight w:val="300"/>
        </w:trPr>
        <w:tc>
          <w:tcPr>
            <w:tcW w:w="60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314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ZNF597/NAA60</w:t>
            </w:r>
          </w:p>
        </w:tc>
        <w:tc>
          <w:tcPr>
            <w:tcW w:w="82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3492828</w:t>
            </w:r>
          </w:p>
        </w:tc>
        <w:tc>
          <w:tcPr>
            <w:tcW w:w="166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3494463</w:t>
            </w:r>
          </w:p>
        </w:tc>
        <w:tc>
          <w:tcPr>
            <w:tcW w:w="118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06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76</w:t>
            </w:r>
          </w:p>
        </w:tc>
        <w:tc>
          <w:tcPr>
            <w:tcW w:w="1280" w:type="dxa"/>
            <w:tcBorders>
              <w:top w:val="single" w:sz="8" w:space="0" w:color="auto"/>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single" w:sz="8" w:space="0" w:color="auto"/>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0.49 (0.42-0.53)</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ZNF331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54040510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54042212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0.49 (0.46-0.53)</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MCTS2P/HM13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30134663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30135933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0.48</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0.51 (0.47-0.55)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25093008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25093829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0.51 (0.48-0.59)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IGF2 DMR2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2153991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2155112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 (0.44-0.6)</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NDN</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23931451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23932759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 (0.5-0.58)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MEG8</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101370741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101371419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 (0.37-0.63)</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MAGEL2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23892425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23894029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51</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 (0.51-0.59)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WRB</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40757510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40758276</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0.61</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 (0.52-0.59)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NHP2L1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42077774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42078873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 (0.52-0.60)</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IGF1R</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99408496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99409650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0.51</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(0.47-0.62)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KvDMR1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2719948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2722259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30</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192</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(0.51-0.61)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PEG10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94285537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94287960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(0.53-0.58)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ZNF531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54057086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54058425</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102</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(0.53-0.58)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FAM50B</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3849082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3850359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90</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(0.53-0.59)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HTR5A</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154862719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154863382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 (0.54-0.59)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25123027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25123905</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0.57 (0.51-0.62)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GNAS XL</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57428905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57431463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200</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0.57 (0.53-0.60)</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SNURF</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25200004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25201976</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0.57 (0.54-0.61)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L3MBTL</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42142365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42144040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0.58 (0.54-0.62)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WDR27</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170054504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170055618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0.58 (0.54-0.62)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GNAS Ex1A</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57463265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57465201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0.58 (0.55-0.61)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H19</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2018812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2024740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 (0.55-0.62)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lastRenderedPageBreak/>
              <w:t>24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GNAS</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57414039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57418612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 (0.55-0.62)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25068564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25069481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 (0.55-0.63)</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DIRAS3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68515433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68517545</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 (0.56-0.63)</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MEST</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130130122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130134388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226</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 (0.55-0.65)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MEG3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101290524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101293978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188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0.60 (0.56-0.64)</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NESP-AS/GNAS-AS1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5742649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57428033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0.61</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0.60 (0.56-0.65)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PLAGL1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144328078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144329888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0.58</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0.60 (0.57-0.65)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PEG3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57348493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57353271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221</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0.60 (0.58-0.65)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IGF2R</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160426558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160427561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0.62 (0.57-0.68)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NAP1L5</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89618184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89619237</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0.57</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0.62 (0.6-0.65)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INPP5F</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121578046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121578727</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52</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0.64 (0.56-0.7)</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GRB10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50848726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50851312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171</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0.64 (0.58-0.69)</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PPIEL</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40024626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40025540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 (0.61-0.70)</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TRAPPC9</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141108147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141111081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 (0.62-0.71)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DIRAS3 Ex2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68512505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68513486</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0.67 (0.60-0.71)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IGF2 DMR0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2168333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2169768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0.68 (0.54-0.77)</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RB1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48892341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48895763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0.68 (0.6-0.71)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 intragenic CpG40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25017924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25018886</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0.51</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0.69 (0.64-0.72)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ZNF597</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3481801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3482388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0.70 (0.64-0.78)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ZDBF2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207114583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207136544</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439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0.75 (0.69-0.78)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BLCAP/NNAT</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36148604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36150528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0.76 (0.63-0.82)</w:t>
            </w:r>
          </w:p>
        </w:tc>
      </w:tr>
      <w:tr w:rsidR="009606C5" w:rsidRPr="00346D5E" w:rsidTr="009606C5">
        <w:trPr>
          <w:trHeight w:val="315"/>
        </w:trPr>
        <w:tc>
          <w:tcPr>
            <w:tcW w:w="600" w:type="dxa"/>
            <w:tcBorders>
              <w:top w:val="nil"/>
              <w:left w:val="single" w:sz="8" w:space="0" w:color="auto"/>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45</w:t>
            </w:r>
          </w:p>
        </w:tc>
        <w:tc>
          <w:tcPr>
            <w:tcW w:w="314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MKRN3/MIR4508</w:t>
            </w:r>
          </w:p>
        </w:tc>
        <w:tc>
          <w:tcPr>
            <w:tcW w:w="82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23807086</w:t>
            </w:r>
          </w:p>
        </w:tc>
        <w:tc>
          <w:tcPr>
            <w:tcW w:w="16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23812495</w:t>
            </w:r>
          </w:p>
        </w:tc>
        <w:tc>
          <w:tcPr>
            <w:tcW w:w="118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w:t>
            </w:r>
          </w:p>
        </w:tc>
        <w:tc>
          <w:tcPr>
            <w:tcW w:w="10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0.44</w:t>
            </w:r>
          </w:p>
        </w:tc>
        <w:tc>
          <w:tcPr>
            <w:tcW w:w="9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109</w:t>
            </w:r>
          </w:p>
        </w:tc>
        <w:tc>
          <w:tcPr>
            <w:tcW w:w="128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8"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0.77 (0.62-0.82)</w:t>
            </w:r>
          </w:p>
        </w:tc>
      </w:tr>
      <w:tr w:rsidR="00F13B67" w:rsidRPr="00346D5E" w:rsidTr="005C40CE">
        <w:trPr>
          <w:trHeight w:val="300"/>
        </w:trPr>
        <w:tc>
          <w:tcPr>
            <w:tcW w:w="14540" w:type="dxa"/>
            <w:gridSpan w:val="10"/>
            <w:tcBorders>
              <w:top w:val="nil"/>
              <w:left w:val="single" w:sz="8" w:space="0" w:color="auto"/>
              <w:bottom w:val="single" w:sz="4" w:space="0" w:color="auto"/>
              <w:right w:val="single" w:sz="8" w:space="0" w:color="auto"/>
            </w:tcBorders>
            <w:shd w:val="clear" w:color="auto" w:fill="auto"/>
            <w:noWrap/>
            <w:vAlign w:val="center"/>
          </w:tcPr>
          <w:p w:rsidR="00F13B67" w:rsidRPr="00346D5E" w:rsidRDefault="00F13B67" w:rsidP="00F13B67">
            <w:pPr>
              <w:spacing w:after="0" w:line="240" w:lineRule="auto"/>
              <w:jc w:val="center"/>
              <w:rPr>
                <w:rFonts w:ascii="Times New Roman" w:eastAsia="Times New Roman" w:hAnsi="Times New Roman" w:cs="Times New Roman"/>
                <w:b/>
                <w:i/>
                <w:color w:val="000000"/>
                <w:lang w:val="en-GB" w:eastAsia="et-EE"/>
              </w:rPr>
            </w:pPr>
            <w:r w:rsidRPr="00346D5E">
              <w:rPr>
                <w:rFonts w:ascii="Times New Roman" w:eastAsia="Times New Roman" w:hAnsi="Times New Roman" w:cs="Times New Roman"/>
                <w:b/>
                <w:i/>
                <w:color w:val="000000"/>
                <w:lang w:val="en-GB" w:eastAsia="et-EE"/>
              </w:rPr>
              <w:t xml:space="preserve">‘Placenta-specific </w:t>
            </w:r>
            <w:r w:rsidRPr="00346D5E">
              <w:rPr>
                <w:rFonts w:ascii="Times New Roman" w:hAnsi="Times New Roman" w:cs="Times New Roman"/>
                <w:b/>
                <w:i/>
                <w:lang w:val="en-GB"/>
              </w:rPr>
              <w:t>imprinted ICR DMRs’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GLIS3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4297279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4300182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0.63</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235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0.10 (0.08-0.12)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AGBL3</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134671024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134672011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0.10 (0.09-0.11)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N4BP2L1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33000694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33002448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136</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0.12 (0.10-0.14)</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FAM20A</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66596155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66597643</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162</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0.13 (0.10-0.22)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MCCC1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182815725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182817627</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0.13 (0.11-0.18)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DCAF10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37800140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37802937</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0.13 (0.12-0.15)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lastRenderedPageBreak/>
              <w:t>52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DNMT1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10303506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10306415</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0.14 (0.12-0.15)</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AIM1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106957945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106961974</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203</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0.15 (0.10-0.20)</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PDE4D</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58333774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58336554</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145</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0.16 (0.09-0.21)</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ZC3H12C</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109962727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109964784</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0.16 (0.13-0.18)</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FAM196A/DOCK1</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128993405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128995242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0.72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198</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0.19 (0.11-0.36)</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57</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ZNF396</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32956510</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32957580</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0.64</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86</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0.20 (0.17-0.22)</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58</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GPR1-AS</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207066967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207069445</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0.49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86</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0.55 (0.52-0.60)</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59</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MIR512-1 cluster</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19</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54150515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54155608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6</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0.53</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216</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bCs/>
                <w:color w:val="000000"/>
                <w:lang w:val="en-GB" w:eastAsia="et-EE"/>
              </w:rPr>
            </w:pPr>
            <w:r w:rsidRPr="00346D5E">
              <w:rPr>
                <w:rFonts w:ascii="Times New Roman" w:eastAsia="Times New Roman" w:hAnsi="Times New Roman" w:cs="Times New Roman"/>
                <w:bCs/>
                <w:color w:val="000000"/>
                <w:lang w:val="en-GB" w:eastAsia="et-EE"/>
              </w:rPr>
              <w:t>0.67 (0.64-0.69)</w:t>
            </w:r>
          </w:p>
        </w:tc>
      </w:tr>
      <w:tr w:rsidR="00F13B67" w:rsidRPr="00346D5E" w:rsidTr="0097371D">
        <w:trPr>
          <w:trHeight w:val="300"/>
        </w:trPr>
        <w:tc>
          <w:tcPr>
            <w:tcW w:w="14540" w:type="dxa"/>
            <w:gridSpan w:val="10"/>
            <w:tcBorders>
              <w:top w:val="nil"/>
              <w:left w:val="single" w:sz="8" w:space="0" w:color="auto"/>
              <w:bottom w:val="single" w:sz="4" w:space="0" w:color="auto"/>
              <w:right w:val="single" w:sz="8" w:space="0" w:color="auto"/>
            </w:tcBorders>
            <w:shd w:val="clear" w:color="auto" w:fill="auto"/>
            <w:noWrap/>
            <w:vAlign w:val="center"/>
          </w:tcPr>
          <w:p w:rsidR="00F13B67" w:rsidRPr="00346D5E" w:rsidRDefault="00F13B67" w:rsidP="009606C5">
            <w:pPr>
              <w:spacing w:after="0" w:line="240" w:lineRule="auto"/>
              <w:jc w:val="center"/>
              <w:rPr>
                <w:rFonts w:ascii="Times New Roman" w:eastAsia="Times New Roman" w:hAnsi="Times New Roman" w:cs="Times New Roman"/>
                <w:b/>
                <w:i/>
                <w:color w:val="000000"/>
                <w:lang w:val="en-GB" w:eastAsia="et-EE"/>
              </w:rPr>
            </w:pPr>
            <w:r w:rsidRPr="00346D5E">
              <w:rPr>
                <w:rFonts w:ascii="Times New Roman" w:eastAsia="Times New Roman" w:hAnsi="Times New Roman" w:cs="Times New Roman"/>
                <w:b/>
                <w:i/>
                <w:color w:val="000000"/>
                <w:lang w:val="en-GB" w:eastAsia="et-EE"/>
              </w:rPr>
              <w:t>“Not used ICR DMRs”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60</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LIN28B</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105400631</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105402559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62</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346D5E">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 xml:space="preserve">Not </w:t>
            </w:r>
            <w:r w:rsidR="00F13B67" w:rsidRPr="00346D5E">
              <w:rPr>
                <w:rFonts w:ascii="Times New Roman" w:eastAsia="Times New Roman" w:hAnsi="Times New Roman" w:cs="Times New Roman"/>
                <w:color w:val="000000"/>
                <w:lang w:val="en-GB" w:eastAsia="et-EE"/>
              </w:rPr>
              <w:t>n</w:t>
            </w:r>
            <w:r w:rsidRPr="00346D5E">
              <w:rPr>
                <w:rFonts w:ascii="Times New Roman" w:eastAsia="Times New Roman" w:hAnsi="Times New Roman" w:cs="Times New Roman"/>
                <w:color w:val="000000"/>
                <w:lang w:val="en-GB" w:eastAsia="et-EE"/>
              </w:rPr>
              <w:t>or</w:t>
            </w:r>
            <w:r w:rsidR="00346D5E">
              <w:rPr>
                <w:rFonts w:ascii="Times New Roman" w:eastAsia="Times New Roman" w:hAnsi="Times New Roman" w:cs="Times New Roman"/>
                <w:color w:val="000000"/>
                <w:lang w:val="en-GB" w:eastAsia="et-EE"/>
              </w:rPr>
              <w:t>m</w:t>
            </w:r>
            <w:bookmarkStart w:id="0" w:name="_GoBack"/>
            <w:bookmarkEnd w:id="0"/>
            <w:r w:rsidRPr="00346D5E">
              <w:rPr>
                <w:rFonts w:ascii="Times New Roman" w:eastAsia="Times New Roman" w:hAnsi="Times New Roman" w:cs="Times New Roman"/>
                <w:color w:val="000000"/>
                <w:lang w:val="en-GB" w:eastAsia="et-EE"/>
              </w:rPr>
              <w:t>alized</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61</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ZFAT</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135707227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135710114</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111</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Not normalized</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62</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IG-DMR</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14</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101275427</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101278058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0.52</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64</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P</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63</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 intragenic CpG32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24346736</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24347142</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30</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64</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 intragenic CpG29</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24671872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24672679</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4</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0.59</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65</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SNRPN intragenic CpG30</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24722753</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24723071</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0.66</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29</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r w:rsidR="009606C5" w:rsidRPr="00346D5E" w:rsidTr="009606C5">
        <w:trPr>
          <w:trHeight w:val="300"/>
        </w:trPr>
        <w:tc>
          <w:tcPr>
            <w:tcW w:w="600" w:type="dxa"/>
            <w:tcBorders>
              <w:top w:val="nil"/>
              <w:left w:val="single" w:sz="8" w:space="0" w:color="auto"/>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66</w:t>
            </w:r>
          </w:p>
        </w:tc>
        <w:tc>
          <w:tcPr>
            <w:tcW w:w="314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CXORF56 pseudogene/ERLIN2</w:t>
            </w:r>
          </w:p>
        </w:tc>
        <w:tc>
          <w:tcPr>
            <w:tcW w:w="82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37604992</w:t>
            </w:r>
          </w:p>
        </w:tc>
        <w:tc>
          <w:tcPr>
            <w:tcW w:w="16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3706088</w:t>
            </w:r>
          </w:p>
        </w:tc>
        <w:tc>
          <w:tcPr>
            <w:tcW w:w="11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7</w:t>
            </w:r>
          </w:p>
        </w:tc>
        <w:tc>
          <w:tcPr>
            <w:tcW w:w="10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0.45</w:t>
            </w:r>
          </w:p>
        </w:tc>
        <w:tc>
          <w:tcPr>
            <w:tcW w:w="96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37</w:t>
            </w:r>
          </w:p>
        </w:tc>
        <w:tc>
          <w:tcPr>
            <w:tcW w:w="1280" w:type="dxa"/>
            <w:tcBorders>
              <w:top w:val="nil"/>
              <w:left w:val="nil"/>
              <w:bottom w:val="single" w:sz="4"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4"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r w:rsidR="009606C5" w:rsidRPr="00346D5E" w:rsidTr="009606C5">
        <w:trPr>
          <w:trHeight w:val="315"/>
        </w:trPr>
        <w:tc>
          <w:tcPr>
            <w:tcW w:w="600" w:type="dxa"/>
            <w:tcBorders>
              <w:top w:val="nil"/>
              <w:left w:val="single" w:sz="8" w:space="0" w:color="auto"/>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67</w:t>
            </w:r>
          </w:p>
        </w:tc>
        <w:tc>
          <w:tcPr>
            <w:tcW w:w="314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RGMA</w:t>
            </w:r>
          </w:p>
        </w:tc>
        <w:tc>
          <w:tcPr>
            <w:tcW w:w="82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15</w:t>
            </w:r>
          </w:p>
        </w:tc>
        <w:tc>
          <w:tcPr>
            <w:tcW w:w="16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93614998</w:t>
            </w:r>
          </w:p>
        </w:tc>
        <w:tc>
          <w:tcPr>
            <w:tcW w:w="16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93614998</w:t>
            </w:r>
          </w:p>
        </w:tc>
        <w:tc>
          <w:tcPr>
            <w:tcW w:w="118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8</w:t>
            </w:r>
          </w:p>
        </w:tc>
        <w:tc>
          <w:tcPr>
            <w:tcW w:w="10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0.61</w:t>
            </w:r>
          </w:p>
        </w:tc>
        <w:tc>
          <w:tcPr>
            <w:tcW w:w="96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134</w:t>
            </w:r>
          </w:p>
        </w:tc>
        <w:tc>
          <w:tcPr>
            <w:tcW w:w="1280" w:type="dxa"/>
            <w:tcBorders>
              <w:top w:val="nil"/>
              <w:left w:val="nil"/>
              <w:bottom w:val="single" w:sz="8" w:space="0" w:color="auto"/>
              <w:right w:val="single" w:sz="4"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M</w:t>
            </w:r>
          </w:p>
        </w:tc>
        <w:tc>
          <w:tcPr>
            <w:tcW w:w="2180" w:type="dxa"/>
            <w:tcBorders>
              <w:top w:val="nil"/>
              <w:left w:val="nil"/>
              <w:bottom w:val="single" w:sz="8" w:space="0" w:color="auto"/>
              <w:right w:val="single" w:sz="8" w:space="0" w:color="auto"/>
            </w:tcBorders>
            <w:shd w:val="clear" w:color="auto" w:fill="auto"/>
            <w:noWrap/>
            <w:vAlign w:val="center"/>
            <w:hideMark/>
          </w:tcPr>
          <w:p w:rsidR="009606C5" w:rsidRPr="00346D5E" w:rsidRDefault="009606C5" w:rsidP="009606C5">
            <w:pPr>
              <w:spacing w:after="0" w:line="240" w:lineRule="auto"/>
              <w:jc w:val="center"/>
              <w:rPr>
                <w:rFonts w:ascii="Times New Roman" w:eastAsia="Times New Roman" w:hAnsi="Times New Roman" w:cs="Times New Roman"/>
                <w:color w:val="000000"/>
                <w:lang w:val="en-GB" w:eastAsia="et-EE"/>
              </w:rPr>
            </w:pPr>
            <w:r w:rsidRPr="00346D5E">
              <w:rPr>
                <w:rFonts w:ascii="Times New Roman" w:eastAsia="Times New Roman" w:hAnsi="Times New Roman" w:cs="Times New Roman"/>
                <w:color w:val="000000"/>
                <w:lang w:val="en-GB" w:eastAsia="et-EE"/>
              </w:rPr>
              <w:t>No probes</w:t>
            </w:r>
          </w:p>
        </w:tc>
      </w:tr>
    </w:tbl>
    <w:p w:rsidR="00816B61" w:rsidRPr="00346D5E" w:rsidRDefault="009A4C4F" w:rsidP="00816B61">
      <w:pPr>
        <w:widowControl w:val="0"/>
        <w:autoSpaceDE w:val="0"/>
        <w:autoSpaceDN w:val="0"/>
        <w:adjustRightInd w:val="0"/>
        <w:spacing w:line="240" w:lineRule="auto"/>
        <w:ind w:left="640" w:hanging="640"/>
        <w:rPr>
          <w:rFonts w:ascii="Calibri" w:hAnsi="Calibri"/>
          <w:lang w:val="en-GB"/>
        </w:rPr>
      </w:pPr>
      <w:r w:rsidRPr="00346D5E">
        <w:rPr>
          <w:lang w:val="en-GB"/>
        </w:rPr>
        <w:t xml:space="preserve"> </w:t>
      </w:r>
      <w:r w:rsidR="00670117" w:rsidRPr="00346D5E">
        <w:rPr>
          <w:lang w:val="en-GB"/>
        </w:rPr>
        <w:fldChar w:fldCharType="begin" w:fldLock="1"/>
      </w:r>
      <w:r w:rsidR="00816B61" w:rsidRPr="00346D5E">
        <w:rPr>
          <w:lang w:val="en-GB"/>
        </w:rPr>
        <w:instrText xml:space="preserve">ADDIN Mendeley Bibliography CSL_BIBLIOGRAPHY </w:instrText>
      </w:r>
      <w:r w:rsidR="00670117" w:rsidRPr="00346D5E">
        <w:rPr>
          <w:lang w:val="en-GB"/>
        </w:rPr>
        <w:fldChar w:fldCharType="separate"/>
      </w:r>
      <w:r w:rsidR="00816B61" w:rsidRPr="00346D5E">
        <w:rPr>
          <w:rFonts w:ascii="Calibri" w:hAnsi="Calibri" w:cs="Times New Roman"/>
          <w:szCs w:val="24"/>
          <w:lang w:val="en-GB"/>
        </w:rPr>
        <w:t xml:space="preserve">1. </w:t>
      </w:r>
      <w:r w:rsidR="00816B61" w:rsidRPr="00346D5E">
        <w:rPr>
          <w:rFonts w:ascii="Calibri" w:hAnsi="Calibri" w:cs="Times New Roman"/>
          <w:szCs w:val="24"/>
          <w:lang w:val="en-GB"/>
        </w:rPr>
        <w:tab/>
        <w:t xml:space="preserve">Court F, Tayama C, Romanelli V, Martin Trujillo A, Iglesias-Platas I, Okamura K, Sugahara N, Simón C, Moore H, Harness J V, et al. Genome-wide parent-of-origin DNA methylation analysis reveals the intricacies of the human imprintome and suggests a germline methylation independent establishment of imprinting. Genome Res 2014; 554–69. </w:t>
      </w:r>
    </w:p>
    <w:p w:rsidR="00056687" w:rsidRPr="00346D5E" w:rsidRDefault="00670117">
      <w:pPr>
        <w:rPr>
          <w:lang w:val="en-GB"/>
        </w:rPr>
      </w:pPr>
      <w:r w:rsidRPr="00346D5E">
        <w:rPr>
          <w:lang w:val="en-GB"/>
        </w:rPr>
        <w:fldChar w:fldCharType="end"/>
      </w:r>
    </w:p>
    <w:sectPr w:rsidR="00056687" w:rsidRPr="00346D5E" w:rsidSect="00300BD0">
      <w:footerReference w:type="default" r:id="rId7"/>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17F" w:rsidRDefault="0071017F" w:rsidP="00F13B67">
      <w:pPr>
        <w:spacing w:after="0" w:line="240" w:lineRule="auto"/>
      </w:pPr>
      <w:r>
        <w:separator/>
      </w:r>
    </w:p>
  </w:endnote>
  <w:endnote w:type="continuationSeparator" w:id="0">
    <w:p w:rsidR="0071017F" w:rsidRDefault="0071017F" w:rsidP="00F13B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49978535"/>
      <w:docPartObj>
        <w:docPartGallery w:val="Page Numbers (Bottom of Page)"/>
        <w:docPartUnique/>
      </w:docPartObj>
    </w:sdtPr>
    <w:sdtEndPr>
      <w:rPr>
        <w:noProof/>
      </w:rPr>
    </w:sdtEndPr>
    <w:sdtContent>
      <w:p w:rsidR="00F13B67" w:rsidRDefault="00670117">
        <w:pPr>
          <w:pStyle w:val="Footer"/>
          <w:jc w:val="center"/>
        </w:pPr>
        <w:r>
          <w:fldChar w:fldCharType="begin"/>
        </w:r>
        <w:r w:rsidR="00F13B67">
          <w:instrText xml:space="preserve"> PAGE   \* MERGEFORMAT </w:instrText>
        </w:r>
        <w:r>
          <w:fldChar w:fldCharType="separate"/>
        </w:r>
        <w:r w:rsidR="00B31B61">
          <w:rPr>
            <w:noProof/>
          </w:rPr>
          <w:t>1</w:t>
        </w:r>
        <w:r>
          <w:rPr>
            <w:noProof/>
          </w:rPr>
          <w:fldChar w:fldCharType="end"/>
        </w:r>
      </w:p>
    </w:sdtContent>
  </w:sdt>
  <w:p w:rsidR="00F13B67" w:rsidRDefault="00F13B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17F" w:rsidRDefault="0071017F" w:rsidP="00F13B67">
      <w:pPr>
        <w:spacing w:after="0" w:line="240" w:lineRule="auto"/>
      </w:pPr>
      <w:r>
        <w:separator/>
      </w:r>
    </w:p>
  </w:footnote>
  <w:footnote w:type="continuationSeparator" w:id="0">
    <w:p w:rsidR="0071017F" w:rsidRDefault="0071017F" w:rsidP="00F13B67">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300BD0"/>
    <w:rsid w:val="00056687"/>
    <w:rsid w:val="001A57E1"/>
    <w:rsid w:val="00300BD0"/>
    <w:rsid w:val="00346D5E"/>
    <w:rsid w:val="00401F9F"/>
    <w:rsid w:val="00447658"/>
    <w:rsid w:val="00523A57"/>
    <w:rsid w:val="00670117"/>
    <w:rsid w:val="0071017F"/>
    <w:rsid w:val="007A0E23"/>
    <w:rsid w:val="00816B61"/>
    <w:rsid w:val="00914B49"/>
    <w:rsid w:val="009606C5"/>
    <w:rsid w:val="009A4C4F"/>
    <w:rsid w:val="009F7BF7"/>
    <w:rsid w:val="00AD5D73"/>
    <w:rsid w:val="00B31B61"/>
    <w:rsid w:val="00BB45E0"/>
    <w:rsid w:val="00D71E1B"/>
    <w:rsid w:val="00F13B67"/>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t-E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668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3B67"/>
    <w:pPr>
      <w:tabs>
        <w:tab w:val="center" w:pos="4536"/>
        <w:tab w:val="right" w:pos="9072"/>
      </w:tabs>
      <w:spacing w:after="0" w:line="240" w:lineRule="auto"/>
    </w:pPr>
  </w:style>
  <w:style w:type="character" w:customStyle="1" w:styleId="HeaderChar">
    <w:name w:val="Header Char"/>
    <w:basedOn w:val="DefaultParagraphFont"/>
    <w:link w:val="Header"/>
    <w:uiPriority w:val="99"/>
    <w:rsid w:val="00F13B67"/>
  </w:style>
  <w:style w:type="paragraph" w:styleId="Footer">
    <w:name w:val="footer"/>
    <w:basedOn w:val="Normal"/>
    <w:link w:val="FooterChar"/>
    <w:uiPriority w:val="99"/>
    <w:unhideWhenUsed/>
    <w:rsid w:val="00F13B67"/>
    <w:pPr>
      <w:tabs>
        <w:tab w:val="center" w:pos="4536"/>
        <w:tab w:val="right" w:pos="9072"/>
      </w:tabs>
      <w:spacing w:after="0" w:line="240" w:lineRule="auto"/>
    </w:pPr>
  </w:style>
  <w:style w:type="character" w:customStyle="1" w:styleId="FooterChar">
    <w:name w:val="Footer Char"/>
    <w:basedOn w:val="DefaultParagraphFont"/>
    <w:link w:val="Footer"/>
    <w:uiPriority w:val="99"/>
    <w:rsid w:val="00F13B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3801712">
      <w:bodyDiv w:val="1"/>
      <w:marLeft w:val="0"/>
      <w:marRight w:val="0"/>
      <w:marTop w:val="0"/>
      <w:marBottom w:val="0"/>
      <w:divBdr>
        <w:top w:val="none" w:sz="0" w:space="0" w:color="auto"/>
        <w:left w:val="none" w:sz="0" w:space="0" w:color="auto"/>
        <w:bottom w:val="none" w:sz="0" w:space="0" w:color="auto"/>
        <w:right w:val="none" w:sz="0" w:space="0" w:color="auto"/>
      </w:divBdr>
    </w:div>
    <w:div w:id="66513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8A757F-5691-4133-AF48-53B216E8E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1564</Words>
  <Characters>9072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Natajla Tšernikova</dc:creator>
  <cp:lastModifiedBy>Natajla Tšernikova</cp:lastModifiedBy>
  <cp:revision>2</cp:revision>
  <dcterms:created xsi:type="dcterms:W3CDTF">2016-01-05T16:00:00Z</dcterms:created>
  <dcterms:modified xsi:type="dcterms:W3CDTF">2016-01-05T16:00:00Z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natalia.pervjakova@ut.ee@www.mendeley.com</vt:lpwstr>
  </property>
  <property fmtid="{D5CDD505-2E9C-101B-9397-08002B2CF9AE}" pid="4" name="Mendeley Citation Style_1">
    <vt:lpwstr>http://www.zotero.org/styles/cell-cycle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http://www.zotero.org/styles/cell-cycle</vt:lpwstr>
  </property>
  <property fmtid="{D5CDD505-2E9C-101B-9397-08002B2CF9AE}" pid="12" name="Mendeley Recent Style Name 3_1">
    <vt:lpwstr>Cell Cycle</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7th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